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79" w:rsidRPr="00CC58B9" w:rsidRDefault="00AB3979" w:rsidP="00AB3979">
      <w:pPr>
        <w:jc w:val="center"/>
        <w:rPr>
          <w:rFonts w:ascii="Times New Roman" w:hAnsi="Times New Roman" w:cs="Times New Roman"/>
          <w:b/>
          <w:color w:val="7030A0"/>
          <w:sz w:val="32"/>
          <w:szCs w:val="32"/>
        </w:rPr>
      </w:pPr>
      <w:r w:rsidRPr="00CC58B9">
        <w:rPr>
          <w:b/>
          <w:noProof/>
          <w:color w:val="7030A0"/>
          <w:sz w:val="32"/>
          <w:szCs w:val="32"/>
          <w:lang w:eastAsia="ru-RU"/>
        </w:rPr>
        <w:drawing>
          <wp:inline distT="0" distB="0" distL="0" distR="0" wp14:anchorId="082A9847" wp14:editId="6520903E">
            <wp:extent cx="1478915" cy="1089025"/>
            <wp:effectExtent l="0" t="0" r="6985" b="0"/>
            <wp:docPr id="2" name="Рисунок 2" descr="Р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та"/>
                    <pic:cNvPicPr>
                      <a:picLocks noChangeAspect="1" noChangeArrowheads="1"/>
                    </pic:cNvPicPr>
                  </pic:nvPicPr>
                  <pic:blipFill>
                    <a:blip r:embed="rId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78915" cy="1089025"/>
                    </a:xfrm>
                    <a:prstGeom prst="rect">
                      <a:avLst/>
                    </a:prstGeom>
                    <a:noFill/>
                    <a:ln>
                      <a:noFill/>
                    </a:ln>
                  </pic:spPr>
                </pic:pic>
              </a:graphicData>
            </a:graphic>
          </wp:inline>
        </w:drawing>
      </w:r>
    </w:p>
    <w:p w:rsidR="00AB3979" w:rsidRDefault="00AB3979" w:rsidP="00AB3979">
      <w:pPr>
        <w:jc w:val="center"/>
        <w:rPr>
          <w:rFonts w:ascii="Times New Roman" w:hAnsi="Times New Roman" w:cs="Times New Roman"/>
          <w:b/>
          <w:color w:val="7030A0"/>
          <w:sz w:val="32"/>
          <w:szCs w:val="32"/>
        </w:rPr>
      </w:pPr>
      <w:r>
        <w:rPr>
          <w:rFonts w:ascii="Times New Roman" w:hAnsi="Times New Roman" w:cs="Times New Roman"/>
          <w:b/>
          <w:color w:val="7030A0"/>
          <w:sz w:val="32"/>
          <w:szCs w:val="32"/>
        </w:rPr>
        <w:t>Центр правовой информации</w:t>
      </w:r>
    </w:p>
    <w:p w:rsidR="00AB3979" w:rsidRPr="00D2499F" w:rsidRDefault="00AB3979" w:rsidP="00AB3979">
      <w:pPr>
        <w:jc w:val="center"/>
        <w:rPr>
          <w:rFonts w:ascii="Times New Roman" w:hAnsi="Times New Roman" w:cs="Times New Roman"/>
          <w:b/>
          <w:color w:val="7030A0"/>
          <w:sz w:val="32"/>
          <w:szCs w:val="32"/>
        </w:rPr>
      </w:pPr>
    </w:p>
    <w:p w:rsidR="00AB3979" w:rsidRPr="00D2499F" w:rsidRDefault="00AB3979" w:rsidP="00AB3979">
      <w:pPr>
        <w:rPr>
          <w:rFonts w:ascii="Arial Black" w:hAnsi="Arial Black" w:cs="Times New Roman"/>
          <w:noProof/>
          <w:color w:val="7030A0"/>
          <w:sz w:val="56"/>
          <w:szCs w:val="56"/>
          <w:lang w:eastAsia="ru-RU"/>
        </w:rPr>
      </w:pPr>
      <w:r>
        <w:rPr>
          <w:rFonts w:ascii="Arial Black" w:hAnsi="Arial Black" w:cs="Times New Roman"/>
          <w:noProof/>
          <w:color w:val="7030A0"/>
          <w:sz w:val="56"/>
          <w:szCs w:val="56"/>
          <w:lang w:eastAsia="ru-RU"/>
        </w:rPr>
        <w:t xml:space="preserve">    </w:t>
      </w:r>
      <w:r w:rsidRPr="00AB3979">
        <w:rPr>
          <w:rFonts w:ascii="Arial Black" w:hAnsi="Arial Black" w:cs="Times New Roman"/>
          <w:noProof/>
          <w:color w:val="7030A0"/>
          <w:sz w:val="56"/>
          <w:szCs w:val="56"/>
          <w:lang w:eastAsia="ru-RU"/>
        </w:rPr>
        <w:t>Памятка покупателю - что нужно знать, отправляясь в магазин?</w:t>
      </w:r>
    </w:p>
    <w:p w:rsidR="00AB3979" w:rsidRDefault="00AB3979" w:rsidP="00AB3979">
      <w:pPr>
        <w:rPr>
          <w:rFonts w:ascii="Arial Black" w:hAnsi="Arial Black" w:cs="Times New Roman"/>
          <w:noProof/>
          <w:color w:val="00B050"/>
          <w:sz w:val="36"/>
          <w:szCs w:val="36"/>
          <w:lang w:eastAsia="ru-RU"/>
        </w:rPr>
      </w:pPr>
      <w:r>
        <w:rPr>
          <w:rFonts w:ascii="Arial Black" w:hAnsi="Arial Black" w:cs="Times New Roman"/>
          <w:noProof/>
          <w:color w:val="00B050"/>
          <w:sz w:val="36"/>
          <w:szCs w:val="36"/>
          <w:lang w:eastAsia="ru-RU"/>
        </w:rPr>
        <w:t xml:space="preserve">             </w:t>
      </w:r>
      <w:r>
        <w:rPr>
          <w:noProof/>
          <w:lang w:eastAsia="ru-RU"/>
        </w:rPr>
        <w:drawing>
          <wp:inline distT="0" distB="0" distL="0" distR="0">
            <wp:extent cx="3810265" cy="1904370"/>
            <wp:effectExtent l="0" t="0" r="0" b="635"/>
            <wp:docPr id="4" name="Рисунок 4" descr="http://cdn.thefiscaltimes.com/sites/default/files/styles/slideshow_slide/public/media/supermarkets.jpg?itok=cztio8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hefiscaltimes.com/sites/default/files/styles/slideshow_slide/public/media/supermarkets.jpg?itok=cztio8f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9127" cy="1903801"/>
                    </a:xfrm>
                    <a:prstGeom prst="rect">
                      <a:avLst/>
                    </a:prstGeom>
                    <a:noFill/>
                    <a:ln>
                      <a:noFill/>
                    </a:ln>
                  </pic:spPr>
                </pic:pic>
              </a:graphicData>
            </a:graphic>
          </wp:inline>
        </w:drawing>
      </w:r>
    </w:p>
    <w:p w:rsidR="00AB3979" w:rsidRDefault="00AB3979" w:rsidP="00AB3979">
      <w:pPr>
        <w:jc w:val="right"/>
        <w:rPr>
          <w:rFonts w:ascii="Arial Black" w:hAnsi="Arial Black" w:cs="Times New Roman"/>
          <w:color w:val="00B050"/>
          <w:sz w:val="36"/>
          <w:szCs w:val="36"/>
        </w:rPr>
      </w:pPr>
    </w:p>
    <w:p w:rsidR="00AB3979" w:rsidRDefault="00AB3979" w:rsidP="00AB3979">
      <w:pPr>
        <w:jc w:val="right"/>
        <w:rPr>
          <w:rFonts w:ascii="Arial Black" w:hAnsi="Arial Black" w:cs="Times New Roman"/>
          <w:color w:val="00B050"/>
          <w:sz w:val="36"/>
          <w:szCs w:val="36"/>
        </w:rPr>
      </w:pPr>
      <w:r>
        <w:rPr>
          <w:rFonts w:ascii="Arial Black" w:hAnsi="Arial Black" w:cs="Times New Roman"/>
          <w:noProof/>
          <w:color w:val="00B050"/>
          <w:sz w:val="36"/>
          <w:szCs w:val="36"/>
          <w:lang w:eastAsia="ru-RU"/>
        </w:rPr>
        <w:drawing>
          <wp:inline distT="0" distB="0" distL="0" distR="0" wp14:anchorId="3C7D0296" wp14:editId="22D8F8D4">
            <wp:extent cx="1527321" cy="1367821"/>
            <wp:effectExtent l="0" t="0" r="0" b="3810"/>
            <wp:docPr id="3" name="Рисунок 3" descr="C:\Users\ASUS\Desktop\квартальный 2017\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квартальный 2017\Безымянны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376" cy="1367870"/>
                    </a:xfrm>
                    <a:prstGeom prst="rect">
                      <a:avLst/>
                    </a:prstGeom>
                    <a:noFill/>
                    <a:ln>
                      <a:noFill/>
                    </a:ln>
                  </pic:spPr>
                </pic:pic>
              </a:graphicData>
            </a:graphic>
          </wp:inline>
        </w:drawing>
      </w:r>
    </w:p>
    <w:p w:rsidR="00AB3979" w:rsidRDefault="00AB3979" w:rsidP="00AB3979">
      <w:pPr>
        <w:rPr>
          <w:rFonts w:ascii="Arial Black" w:hAnsi="Arial Black" w:cs="Times New Roman"/>
          <w:sz w:val="36"/>
          <w:szCs w:val="36"/>
        </w:rPr>
      </w:pPr>
      <w:r>
        <w:rPr>
          <w:rFonts w:ascii="Arial Black" w:hAnsi="Arial Black" w:cs="Times New Roman"/>
          <w:sz w:val="36"/>
          <w:szCs w:val="36"/>
        </w:rPr>
        <w:t xml:space="preserve">                 </w:t>
      </w:r>
    </w:p>
    <w:p w:rsidR="00AB3979" w:rsidRPr="00D2499F" w:rsidRDefault="00AB3979" w:rsidP="00AB3979">
      <w:pPr>
        <w:rPr>
          <w:rFonts w:ascii="Times New Roman" w:hAnsi="Times New Roman" w:cs="Times New Roman"/>
          <w:b/>
          <w:color w:val="7030A0"/>
          <w:sz w:val="28"/>
          <w:szCs w:val="28"/>
        </w:rPr>
      </w:pPr>
      <w:r w:rsidRPr="00D2499F">
        <w:rPr>
          <w:rFonts w:ascii="Arial Black" w:hAnsi="Arial Black" w:cs="Times New Roman"/>
          <w:color w:val="7030A0"/>
          <w:sz w:val="36"/>
          <w:szCs w:val="36"/>
        </w:rPr>
        <w:t xml:space="preserve">                             </w:t>
      </w:r>
      <w:r w:rsidRPr="00D2499F">
        <w:rPr>
          <w:rFonts w:ascii="Times New Roman" w:hAnsi="Times New Roman" w:cs="Times New Roman"/>
          <w:b/>
          <w:color w:val="7030A0"/>
          <w:sz w:val="28"/>
          <w:szCs w:val="28"/>
        </w:rPr>
        <w:t>Обоянь, 2017</w:t>
      </w:r>
    </w:p>
    <w:p w:rsidR="009751F7" w:rsidRP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lastRenderedPageBreak/>
        <w:t>Обязательно ли сдавать вещи в камеру хранения?</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Крупные супермаркеты и гипермаркеты любят устанавливать на входе в торговый зал камеру хранения, куда покупатели могут сдать свои пакеты и сумки. Еще несколько лет назад охранники строго следили за тем, чтобы никто не проносил в магазин «ручную кладь». Сегодня такие ситуации встречаются реже, тем не менее, полезно знать, что камера хранения – дело добровольное (ст. 421 ГК РФ), а требования охранников оставить в ней вещи не имеют законной силы. Кроме того, отказать покупателю зайти в магазин и совершить покупку на том основании, что у него при себе сумка, пакет или рюкзак, нельзя в силу публичности договора розничной купли-продажи (ст. 426 ГК РФ).</w:t>
      </w:r>
    </w:p>
    <w:p w:rsidR="009751F7" w:rsidRPr="009751F7" w:rsidRDefault="009751F7" w:rsidP="009751F7">
      <w:pPr>
        <w:spacing w:after="0"/>
        <w:ind w:firstLine="284"/>
        <w:contextualSpacing/>
        <w:rPr>
          <w:rFonts w:ascii="Times New Roman" w:hAnsi="Times New Roman" w:cs="Times New Roman"/>
          <w:sz w:val="26"/>
          <w:szCs w:val="26"/>
        </w:rPr>
      </w:pPr>
      <w:proofErr w:type="gramStart"/>
      <w:r w:rsidRPr="009751F7">
        <w:rPr>
          <w:rFonts w:ascii="Times New Roman" w:hAnsi="Times New Roman" w:cs="Times New Roman"/>
          <w:sz w:val="26"/>
          <w:szCs w:val="26"/>
        </w:rPr>
        <w:t>Если же покупатель добровольно решил сдать вещи в камеру хранения, то он также должен знать, что хранитель (в данном случае администрация магазина) несет полную ответственность за эти вещи (ст. 901 ГК РФ), даже если на самой камере хранения висит объявление об обратном, как это обычно бывает.</w:t>
      </w:r>
      <w:proofErr w:type="gramEnd"/>
    </w:p>
    <w:p w:rsidR="009751F7" w:rsidRPr="009751F7" w:rsidRDefault="009751F7" w:rsidP="009751F7">
      <w:pPr>
        <w:rPr>
          <w:rFonts w:ascii="Times New Roman" w:hAnsi="Times New Roman" w:cs="Times New Roman"/>
          <w:sz w:val="26"/>
          <w:szCs w:val="26"/>
        </w:rPr>
      </w:pPr>
      <w:r>
        <w:rPr>
          <w:rFonts w:ascii="Times New Roman" w:hAnsi="Times New Roman" w:cs="Times New Roman"/>
          <w:sz w:val="26"/>
          <w:szCs w:val="26"/>
        </w:rPr>
        <w:t xml:space="preserve"> </w:t>
      </w: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Случайно разбил бутылку - кто виноват?</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Толкаясь в узких проходах магазина в час-пик, можно легко задеть стеллаж и уронить стоящую на нем стеклянную бутылку с водой или банку с солеными огурцами. От случайностей никто не застрахован. Сотрудники магазина в таких случаях часто просят покупателя оплатить утраченный товар. Делать этого не нужно. В соответствии со статьей 401 ГК РФ, ответственность гражданина за испорченный или утраченный товар наступает только </w:t>
      </w:r>
      <w:proofErr w:type="gramStart"/>
      <w:r w:rsidRPr="009751F7">
        <w:rPr>
          <w:rFonts w:ascii="Times New Roman" w:hAnsi="Times New Roman" w:cs="Times New Roman"/>
          <w:sz w:val="26"/>
          <w:szCs w:val="26"/>
        </w:rPr>
        <w:t>при</w:t>
      </w:r>
      <w:proofErr w:type="gramEnd"/>
      <w:r w:rsidRPr="009751F7">
        <w:rPr>
          <w:rFonts w:ascii="Times New Roman" w:hAnsi="Times New Roman" w:cs="Times New Roman"/>
          <w:sz w:val="26"/>
          <w:szCs w:val="26"/>
        </w:rPr>
        <w:t xml:space="preserve"> наличие вины. Если же речь идет о случайной гибели вещи, то в соответствии со ст. 211 ГК РФ, все риски несет ее собственник. До тех пор, пока товар не оплачен на кассе, собственником является магазин, после оплаты и передачи вещи — покупатель (ст. 459 ГК РФ).</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Поэтому, если сотрудники магазина просят оплатить утраченный товар, стоит сослаться на обстоятельства, подтверждающие, что в случившемся нет вины покупателя. Например, на узкие проходы, скользкие полы, плохо закрепленный стеллаж, неровно расставленные на полках товары и т.д. При возникновении спора покупатель может предложить магазину обратиться в суд. Без суда работники магазина требовать оплаты товара могут только, если покупатель согласен, что его вина в гибели вещи есть, и готов заплатить.</w:t>
      </w:r>
    </w:p>
    <w:p w:rsidR="009751F7" w:rsidRP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Что делать, если на прилавке лежит просроченный товар?</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Если на прилавке в магазине лежит товар с истекшим сроком годности, то необходимо обратить на это внимание продавцов, обязанность которых убрать такой товар с прилавка в присутствии покупателя. О наличие просроченного товара и о том, как продавцы отреагировали на требование убрать его, стоит сделать запись в книге жалоб и предложений, которую просматривают сотрудники </w:t>
      </w:r>
      <w:proofErr w:type="spellStart"/>
      <w:r w:rsidRPr="009751F7">
        <w:rPr>
          <w:rFonts w:ascii="Times New Roman" w:hAnsi="Times New Roman" w:cs="Times New Roman"/>
          <w:sz w:val="26"/>
          <w:szCs w:val="26"/>
        </w:rPr>
        <w:lastRenderedPageBreak/>
        <w:t>Роспотребнадзора</w:t>
      </w:r>
      <w:proofErr w:type="spellEnd"/>
      <w:r w:rsidRPr="009751F7">
        <w:rPr>
          <w:rFonts w:ascii="Times New Roman" w:hAnsi="Times New Roman" w:cs="Times New Roman"/>
          <w:sz w:val="26"/>
          <w:szCs w:val="26"/>
        </w:rPr>
        <w:t xml:space="preserve">, проверяя магазин. Можно сфотографировать товар и самостоятельно обратиться в надзорное ведомство с жалобой. </w:t>
      </w:r>
      <w:proofErr w:type="gramStart"/>
      <w:r w:rsidRPr="009751F7">
        <w:rPr>
          <w:rFonts w:ascii="Times New Roman" w:hAnsi="Times New Roman" w:cs="Times New Roman"/>
          <w:sz w:val="26"/>
          <w:szCs w:val="26"/>
        </w:rPr>
        <w:t>За торговлю просроченными товарами ответственность наступает по ст. 14.4 КоАП РФ, которая предполагает наказание в виде административного штрафа для должностных лиц - от 3 000 до 10 000 рублей; для лиц, осуществляющих предпринимательскую деятельность без образования юридического лица, - от 10 000 до 20 000 рублей; для юридических лиц - от 20 000 до 30 000 тысяч рублей.</w:t>
      </w:r>
      <w:proofErr w:type="gramEnd"/>
    </w:p>
    <w:p w:rsidR="009751F7" w:rsidRP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Что делать, если цена не соответствует ценнику?</w:t>
      </w:r>
    </w:p>
    <w:p w:rsidR="009751F7" w:rsidRPr="009751F7" w:rsidRDefault="009751F7" w:rsidP="009751F7">
      <w:pPr>
        <w:spacing w:after="0"/>
        <w:contextualSpacing/>
        <w:rPr>
          <w:rFonts w:ascii="Times New Roman" w:hAnsi="Times New Roman" w:cs="Times New Roman"/>
          <w:sz w:val="26"/>
          <w:szCs w:val="26"/>
        </w:rPr>
      </w:pPr>
      <w:r>
        <w:rPr>
          <w:rFonts w:ascii="Times New Roman" w:hAnsi="Times New Roman" w:cs="Times New Roman"/>
          <w:sz w:val="26"/>
          <w:szCs w:val="26"/>
        </w:rPr>
        <w:t xml:space="preserve">     </w:t>
      </w:r>
      <w:r w:rsidRPr="009751F7">
        <w:rPr>
          <w:rFonts w:ascii="Times New Roman" w:hAnsi="Times New Roman" w:cs="Times New Roman"/>
          <w:sz w:val="26"/>
          <w:szCs w:val="26"/>
        </w:rPr>
        <w:t xml:space="preserve">Часто покупатели, оплачивая товар, с удивлением узнают, что его цена выше, чем это обозначено на ценнике. Продавцы могут найти этому самые разные объяснения. Однако покупатель вправе требовать продать ему товар по цене, указанной на ценнике, потому что это публичное предложение, изменить которое магазин не вправе. Кроме того, в силу ст. 10, 12 закона РФ «О Защите прав потребителей» магазин обязан предоставлять информацию о цене товара — ценник в данном случае является средством информирования. Покупатель вправе подать жалобу в </w:t>
      </w:r>
      <w:proofErr w:type="spellStart"/>
      <w:r w:rsidRPr="009751F7">
        <w:rPr>
          <w:rFonts w:ascii="Times New Roman" w:hAnsi="Times New Roman" w:cs="Times New Roman"/>
          <w:sz w:val="26"/>
          <w:szCs w:val="26"/>
        </w:rPr>
        <w:t>Роспотребнадзор</w:t>
      </w:r>
      <w:proofErr w:type="spellEnd"/>
      <w:r w:rsidRPr="009751F7">
        <w:rPr>
          <w:rFonts w:ascii="Times New Roman" w:hAnsi="Times New Roman" w:cs="Times New Roman"/>
          <w:sz w:val="26"/>
          <w:szCs w:val="26"/>
        </w:rPr>
        <w:t xml:space="preserve"> с просьбой привлечь магазин к административной ответственности по ст. 14.8 КоАП РФ.</w:t>
      </w:r>
    </w:p>
    <w:p w:rsidR="009751F7" w:rsidRP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Что делать, если на кассе нет сдачи?</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С ситуацией, когда на кассе отказываются продать товар из-за отсутствия сдачи, сталкивался, наверное, каждый. В таких случаях нередко кассир просит покупателя разменять крупную купюру, а после вернуться и оплатить товар. Такая просьба противоречит закону. </w:t>
      </w:r>
      <w:proofErr w:type="gramStart"/>
      <w:r w:rsidRPr="009751F7">
        <w:rPr>
          <w:rFonts w:ascii="Times New Roman" w:hAnsi="Times New Roman" w:cs="Times New Roman"/>
          <w:sz w:val="26"/>
          <w:szCs w:val="26"/>
        </w:rPr>
        <w:t>Если кто и должен бежать за разменом, так это директор магазина, так как именно руководство отвечает за то, чтобы снабдить кассиров достаточным количеством мелочи для расчетов, о чем прямо говорится в правилах эксплуатации кассовых аппаратов при осуществлении денежных расчетов с населением, утвержденных Министерством финансов РФ 30 августа 1993 г. N 104.</w:t>
      </w:r>
      <w:proofErr w:type="gramEnd"/>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Кроме того, не стоит забывать, что договор купли-продажи является публичным, и отказ от его заключения со стороны коммерческой организации, если есть возможность продать товар или предоставить услугу, не допускается (ст. 426 ГК РФ). Отсутствие мелочи причиной отказа заключить договор считаться не может.</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Закон дает право потребителю в судебном порядке принудить коммерческую организацию заключить публичный договор. Но очевидно, что в суд из-за отсутствия мелочи на кассе никто не пойдет. Однако пригрозить кассиру записью в книге жалоб и предложений будет не лишним. Сдача может быстро найтись в соседней кассе или в бухгалтерии предприятия.</w:t>
      </w:r>
    </w:p>
    <w:p w:rsidR="009751F7" w:rsidRP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Что делать, если кассир не принимает рваную купюру?</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lastRenderedPageBreak/>
        <w:t xml:space="preserve">Еще </w:t>
      </w:r>
      <w:r>
        <w:rPr>
          <w:rFonts w:ascii="Times New Roman" w:hAnsi="Times New Roman" w:cs="Times New Roman"/>
          <w:sz w:val="26"/>
          <w:szCs w:val="26"/>
        </w:rPr>
        <w:t>одна распространенная ситуация -</w:t>
      </w:r>
      <w:r w:rsidRPr="009751F7">
        <w:rPr>
          <w:rFonts w:ascii="Times New Roman" w:hAnsi="Times New Roman" w:cs="Times New Roman"/>
          <w:sz w:val="26"/>
          <w:szCs w:val="26"/>
        </w:rPr>
        <w:t xml:space="preserve"> отказ продавца принять к расчету рваную, грязную или мятую купюру. Чтобы определить ее платежеспособность необходимо обратиться к Указаниям Банка России от 26 декабря 2006 г. N 1778-У, в которых говорится, что к наличному обороту принимаются банкноты со следующим перечнем дефектов: грязные, изношенные, надорванные, потертые, продырявленные, проколотые, исписанные, а также банкноты, утратившие углы и края, с пятнами и следами посторонних штампов. Монеты могут иметь мелкие механические повреждения.</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В случае более сильных повреждений расплатиться купюрой будет нельзя, зато можно обменять в банке на </w:t>
      </w:r>
      <w:proofErr w:type="gramStart"/>
      <w:r w:rsidRPr="009751F7">
        <w:rPr>
          <w:rFonts w:ascii="Times New Roman" w:hAnsi="Times New Roman" w:cs="Times New Roman"/>
          <w:sz w:val="26"/>
          <w:szCs w:val="26"/>
        </w:rPr>
        <w:t>новую</w:t>
      </w:r>
      <w:proofErr w:type="gramEnd"/>
      <w:r w:rsidRPr="009751F7">
        <w:rPr>
          <w:rFonts w:ascii="Times New Roman" w:hAnsi="Times New Roman" w:cs="Times New Roman"/>
          <w:sz w:val="26"/>
          <w:szCs w:val="26"/>
        </w:rPr>
        <w:t>. Главное, чтобы на ней не было признаком подделки.</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Банк примет купюру для обмена, если она сохранила не менее 55% площади, пусть даже эти 55% состоят из склеенных фрагментов, но, безусловно принадлежащих одной купюре.</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Обменять можно и купюру, склеенную из двух фрагменто</w:t>
      </w:r>
      <w:r>
        <w:rPr>
          <w:rFonts w:ascii="Times New Roman" w:hAnsi="Times New Roman" w:cs="Times New Roman"/>
          <w:sz w:val="26"/>
          <w:szCs w:val="26"/>
        </w:rPr>
        <w:t>в разных купюр одного номинала -</w:t>
      </w:r>
      <w:r w:rsidRPr="009751F7">
        <w:rPr>
          <w:rFonts w:ascii="Times New Roman" w:hAnsi="Times New Roman" w:cs="Times New Roman"/>
          <w:sz w:val="26"/>
          <w:szCs w:val="26"/>
        </w:rPr>
        <w:t xml:space="preserve"> для этого каждый фрагмент должен занимать не менее 50% первоначальной площади.</w:t>
      </w:r>
    </w:p>
    <w:p w:rsid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Чтобы обменять в банке монету (даже сплющенную, погнутую и оплавленную), она должна сохр</w:t>
      </w:r>
      <w:r>
        <w:rPr>
          <w:rFonts w:ascii="Times New Roman" w:hAnsi="Times New Roman" w:cs="Times New Roman"/>
          <w:sz w:val="26"/>
          <w:szCs w:val="26"/>
        </w:rPr>
        <w:t>анить 75% первоначальной массы.</w:t>
      </w:r>
    </w:p>
    <w:p w:rsidR="009751F7" w:rsidRPr="009751F7" w:rsidRDefault="009751F7" w:rsidP="009751F7">
      <w:pPr>
        <w:spacing w:after="0"/>
        <w:ind w:firstLine="284"/>
        <w:contextualSpacing/>
        <w:rPr>
          <w:rFonts w:ascii="Times New Roman" w:hAnsi="Times New Roman" w:cs="Times New Roman"/>
          <w:sz w:val="26"/>
          <w:szCs w:val="26"/>
        </w:rPr>
      </w:pP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Имеют ли право охранники магазина обыскивать покупателей?</w:t>
      </w:r>
    </w:p>
    <w:p w:rsidR="009751F7" w:rsidRPr="009751F7" w:rsidRDefault="009751F7" w:rsidP="009751F7">
      <w:pPr>
        <w:rPr>
          <w:rFonts w:ascii="Times New Roman" w:hAnsi="Times New Roman" w:cs="Times New Roman"/>
          <w:sz w:val="26"/>
          <w:szCs w:val="26"/>
        </w:rPr>
      </w:pPr>
      <w:r>
        <w:rPr>
          <w:rFonts w:ascii="Times New Roman" w:hAnsi="Times New Roman" w:cs="Times New Roman"/>
          <w:sz w:val="26"/>
          <w:szCs w:val="26"/>
        </w:rPr>
        <w:t xml:space="preserve">      </w:t>
      </w:r>
      <w:r w:rsidRPr="009751F7">
        <w:rPr>
          <w:rFonts w:ascii="Times New Roman" w:hAnsi="Times New Roman" w:cs="Times New Roman"/>
          <w:sz w:val="26"/>
          <w:szCs w:val="26"/>
        </w:rPr>
        <w:t xml:space="preserve">Полномочий </w:t>
      </w:r>
      <w:proofErr w:type="gramStart"/>
      <w:r w:rsidRPr="009751F7">
        <w:rPr>
          <w:rFonts w:ascii="Times New Roman" w:hAnsi="Times New Roman" w:cs="Times New Roman"/>
          <w:sz w:val="26"/>
          <w:szCs w:val="26"/>
        </w:rPr>
        <w:t>обыскивать покупателей у охранников нет</w:t>
      </w:r>
      <w:proofErr w:type="gramEnd"/>
      <w:r w:rsidRPr="009751F7">
        <w:rPr>
          <w:rFonts w:ascii="Times New Roman" w:hAnsi="Times New Roman" w:cs="Times New Roman"/>
          <w:sz w:val="26"/>
          <w:szCs w:val="26"/>
        </w:rPr>
        <w:t xml:space="preserve">. Если </w:t>
      </w:r>
      <w:proofErr w:type="spellStart"/>
      <w:r w:rsidRPr="009751F7">
        <w:rPr>
          <w:rFonts w:ascii="Times New Roman" w:hAnsi="Times New Roman" w:cs="Times New Roman"/>
          <w:sz w:val="26"/>
          <w:szCs w:val="26"/>
        </w:rPr>
        <w:t>противокражная</w:t>
      </w:r>
      <w:proofErr w:type="spellEnd"/>
      <w:r w:rsidRPr="009751F7">
        <w:rPr>
          <w:rFonts w:ascii="Times New Roman" w:hAnsi="Times New Roman" w:cs="Times New Roman"/>
          <w:sz w:val="26"/>
          <w:szCs w:val="26"/>
        </w:rPr>
        <w:t xml:space="preserve"> рамка запищала или есть другие основания подозревать покупателя в воровстве, то охранники могут только предложить ему добровольно предъявить свои вещи на осмотр или вызвать сотрудников полиции. Что выбрать, каждый решает сам. </w:t>
      </w:r>
      <w:proofErr w:type="gramStart"/>
      <w:r w:rsidRPr="009751F7">
        <w:rPr>
          <w:rFonts w:ascii="Times New Roman" w:hAnsi="Times New Roman" w:cs="Times New Roman"/>
          <w:sz w:val="26"/>
          <w:szCs w:val="26"/>
        </w:rPr>
        <w:t>Но не будет не лишним знать, что личный досмотр производится сотрудником полиции одного пола с досматриваемым в присутствии двух понятых того же пола.</w:t>
      </w:r>
      <w:proofErr w:type="gramEnd"/>
      <w:r w:rsidRPr="009751F7">
        <w:rPr>
          <w:rFonts w:ascii="Times New Roman" w:hAnsi="Times New Roman" w:cs="Times New Roman"/>
          <w:sz w:val="26"/>
          <w:szCs w:val="26"/>
        </w:rPr>
        <w:t xml:space="preserve"> Вся процедура протоколируется (ст. 27.7 КоАП РФ).</w:t>
      </w:r>
    </w:p>
    <w:p w:rsidR="009751F7" w:rsidRPr="009751F7" w:rsidRDefault="009751F7" w:rsidP="009751F7">
      <w:pPr>
        <w:rPr>
          <w:rFonts w:ascii="Times New Roman" w:hAnsi="Times New Roman" w:cs="Times New Roman"/>
          <w:b/>
          <w:i/>
          <w:color w:val="7030A0"/>
          <w:sz w:val="26"/>
          <w:szCs w:val="26"/>
        </w:rPr>
      </w:pPr>
      <w:r w:rsidRPr="009751F7">
        <w:rPr>
          <w:rFonts w:ascii="Times New Roman" w:hAnsi="Times New Roman" w:cs="Times New Roman"/>
          <w:b/>
          <w:i/>
          <w:color w:val="7030A0"/>
          <w:sz w:val="26"/>
          <w:szCs w:val="26"/>
        </w:rPr>
        <w:t>Травма в магазине - кто оплатит лечение?</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Администрация торгового предприятия должна обеспечить покупателям, впрочем, как и работникам, безопасные условия совершения покупок. Если покупатель получил в магазине травму, например, сломал ногу, </w:t>
      </w:r>
      <w:proofErr w:type="spellStart"/>
      <w:r w:rsidRPr="009751F7">
        <w:rPr>
          <w:rFonts w:ascii="Times New Roman" w:hAnsi="Times New Roman" w:cs="Times New Roman"/>
          <w:sz w:val="26"/>
          <w:szCs w:val="26"/>
        </w:rPr>
        <w:t>подскользнувшись</w:t>
      </w:r>
      <w:proofErr w:type="spellEnd"/>
      <w:r w:rsidRPr="009751F7">
        <w:rPr>
          <w:rFonts w:ascii="Times New Roman" w:hAnsi="Times New Roman" w:cs="Times New Roman"/>
          <w:sz w:val="26"/>
          <w:szCs w:val="26"/>
        </w:rPr>
        <w:t xml:space="preserve"> на мокром полу, то он вправе обратиться в суд с иском о возмещении вреда на основании ст. 1064 ГК РФ. Для этого придется доказать сам факт получения травмы, а также причинную связь между действием или бездействием сотрудников магазина и получением травмы.</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Случаев, когда суды в таких ситуациях вставали на сторону покупателей, немало. Правда, придется запастись терпением. В конце января 2015 года жительница Башкирии отсудила у строительного магазина 15 000 рублей за сотрясение мозга, которое она получила от упавшего ей на голову рулона </w:t>
      </w:r>
      <w:r w:rsidRPr="009751F7">
        <w:rPr>
          <w:rFonts w:ascii="Times New Roman" w:hAnsi="Times New Roman" w:cs="Times New Roman"/>
          <w:sz w:val="26"/>
          <w:szCs w:val="26"/>
        </w:rPr>
        <w:lastRenderedPageBreak/>
        <w:t>теплоизоляционных материалов. Чтобы добиться положительного решения суда, ей потребовалось полтора года.</w:t>
      </w:r>
    </w:p>
    <w:p w:rsidR="009751F7"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 xml:space="preserve">Чуть меньше года потребовалось жительнице Красноярского края, чтобы отсудить у магазина 50 000 рублей за травму колена, которую она получила, </w:t>
      </w:r>
      <w:proofErr w:type="spellStart"/>
      <w:r w:rsidRPr="009751F7">
        <w:rPr>
          <w:rFonts w:ascii="Times New Roman" w:hAnsi="Times New Roman" w:cs="Times New Roman"/>
          <w:sz w:val="26"/>
          <w:szCs w:val="26"/>
        </w:rPr>
        <w:t>подскользнувшись</w:t>
      </w:r>
      <w:proofErr w:type="spellEnd"/>
      <w:r w:rsidRPr="009751F7">
        <w:rPr>
          <w:rFonts w:ascii="Times New Roman" w:hAnsi="Times New Roman" w:cs="Times New Roman"/>
          <w:sz w:val="26"/>
          <w:szCs w:val="26"/>
        </w:rPr>
        <w:t xml:space="preserve"> на рекламном щите, валявшемся в снегу рядом с магазином.</w:t>
      </w:r>
    </w:p>
    <w:p w:rsidR="005F3F76" w:rsidRPr="009751F7" w:rsidRDefault="009751F7" w:rsidP="009751F7">
      <w:pPr>
        <w:spacing w:after="0"/>
        <w:ind w:firstLine="284"/>
        <w:contextualSpacing/>
        <w:rPr>
          <w:rFonts w:ascii="Times New Roman" w:hAnsi="Times New Roman" w:cs="Times New Roman"/>
          <w:sz w:val="26"/>
          <w:szCs w:val="26"/>
        </w:rPr>
      </w:pPr>
      <w:r w:rsidRPr="009751F7">
        <w:rPr>
          <w:rFonts w:ascii="Times New Roman" w:hAnsi="Times New Roman" w:cs="Times New Roman"/>
          <w:sz w:val="26"/>
          <w:szCs w:val="26"/>
        </w:rPr>
        <w:t>Важно помнить, что отсудить у магазина можно не только причиненный ущерб, но и судебные издержки, в том числе и средства, потраченные на юридическую помощь.</w:t>
      </w:r>
    </w:p>
    <w:p w:rsidR="009751F7" w:rsidRDefault="009751F7" w:rsidP="009751F7">
      <w:pPr>
        <w:rPr>
          <w:rFonts w:ascii="Times New Roman" w:hAnsi="Times New Roman" w:cs="Times New Roman"/>
          <w:sz w:val="26"/>
          <w:szCs w:val="26"/>
        </w:rPr>
      </w:pPr>
    </w:p>
    <w:p w:rsidR="009751F7" w:rsidRPr="009751F7" w:rsidRDefault="009751F7" w:rsidP="009751F7">
      <w:pPr>
        <w:rPr>
          <w:rFonts w:ascii="Times New Roman" w:hAnsi="Times New Roman" w:cs="Times New Roman"/>
          <w:sz w:val="26"/>
          <w:szCs w:val="26"/>
        </w:rPr>
      </w:pPr>
      <w:r w:rsidRPr="009751F7">
        <w:rPr>
          <w:rFonts w:ascii="Times New Roman" w:hAnsi="Times New Roman" w:cs="Times New Roman"/>
          <w:sz w:val="26"/>
          <w:szCs w:val="26"/>
        </w:rPr>
        <w:t xml:space="preserve">По материалам сайта - </w:t>
      </w:r>
      <w:r w:rsidR="00F15957">
        <w:rPr>
          <w:rFonts w:ascii="Times New Roman" w:hAnsi="Times New Roman" w:cs="Times New Roman"/>
          <w:sz w:val="26"/>
          <w:szCs w:val="26"/>
        </w:rPr>
        <w:t xml:space="preserve"> </w:t>
      </w:r>
      <w:bookmarkStart w:id="0" w:name="_GoBack"/>
      <w:bookmarkEnd w:id="0"/>
      <w:r w:rsidR="00F15957">
        <w:rPr>
          <w:rFonts w:ascii="Times New Roman" w:hAnsi="Times New Roman" w:cs="Times New Roman"/>
          <w:sz w:val="26"/>
          <w:szCs w:val="26"/>
        </w:rPr>
        <w:fldChar w:fldCharType="begin"/>
      </w:r>
      <w:r w:rsidR="00F15957">
        <w:rPr>
          <w:rFonts w:ascii="Times New Roman" w:hAnsi="Times New Roman" w:cs="Times New Roman"/>
          <w:sz w:val="26"/>
          <w:szCs w:val="26"/>
        </w:rPr>
        <w:instrText xml:space="preserve"> HYPERLINK "https://www.9111.ru/" </w:instrText>
      </w:r>
      <w:r w:rsidR="00F15957">
        <w:rPr>
          <w:rFonts w:ascii="Times New Roman" w:hAnsi="Times New Roman" w:cs="Times New Roman"/>
          <w:sz w:val="26"/>
          <w:szCs w:val="26"/>
        </w:rPr>
        <w:fldChar w:fldCharType="separate"/>
      </w:r>
      <w:r w:rsidR="00F15957" w:rsidRPr="00873493">
        <w:rPr>
          <w:rStyle w:val="a3"/>
          <w:rFonts w:ascii="Times New Roman" w:hAnsi="Times New Roman" w:cs="Times New Roman"/>
          <w:sz w:val="26"/>
          <w:szCs w:val="26"/>
        </w:rPr>
        <w:t>https://www.9111.ru/</w:t>
      </w:r>
      <w:r w:rsidR="00F15957">
        <w:rPr>
          <w:rFonts w:ascii="Times New Roman" w:hAnsi="Times New Roman" w:cs="Times New Roman"/>
          <w:sz w:val="26"/>
          <w:szCs w:val="26"/>
        </w:rPr>
        <w:fldChar w:fldCharType="end"/>
      </w:r>
      <w:r w:rsidR="00F15957">
        <w:rPr>
          <w:rFonts w:ascii="Times New Roman" w:hAnsi="Times New Roman" w:cs="Times New Roman"/>
          <w:sz w:val="26"/>
          <w:szCs w:val="26"/>
        </w:rPr>
        <w:t xml:space="preserve"> </w:t>
      </w:r>
    </w:p>
    <w:p w:rsidR="009751F7" w:rsidRPr="009751F7" w:rsidRDefault="009751F7">
      <w:pPr>
        <w:rPr>
          <w:rFonts w:ascii="Times New Roman" w:hAnsi="Times New Roman" w:cs="Times New Roman"/>
          <w:sz w:val="26"/>
          <w:szCs w:val="26"/>
        </w:rPr>
      </w:pPr>
    </w:p>
    <w:sectPr w:rsidR="009751F7" w:rsidRPr="00975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F7"/>
    <w:rsid w:val="005F3F76"/>
    <w:rsid w:val="009751F7"/>
    <w:rsid w:val="00AB3979"/>
    <w:rsid w:val="00F1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1F7"/>
    <w:rPr>
      <w:color w:val="0000FF" w:themeColor="hyperlink"/>
      <w:u w:val="single"/>
    </w:rPr>
  </w:style>
  <w:style w:type="paragraph" w:styleId="a4">
    <w:name w:val="Balloon Text"/>
    <w:basedOn w:val="a"/>
    <w:link w:val="a5"/>
    <w:uiPriority w:val="99"/>
    <w:semiHidden/>
    <w:unhideWhenUsed/>
    <w:rsid w:val="00AB39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1F7"/>
    <w:rPr>
      <w:color w:val="0000FF" w:themeColor="hyperlink"/>
      <w:u w:val="single"/>
    </w:rPr>
  </w:style>
  <w:style w:type="paragraph" w:styleId="a4">
    <w:name w:val="Balloon Text"/>
    <w:basedOn w:val="a"/>
    <w:link w:val="a5"/>
    <w:uiPriority w:val="99"/>
    <w:semiHidden/>
    <w:unhideWhenUsed/>
    <w:rsid w:val="00AB39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2017-08-21T07:49:00Z</dcterms:created>
  <dcterms:modified xsi:type="dcterms:W3CDTF">2017-10-27T07:28:00Z</dcterms:modified>
</cp:coreProperties>
</file>